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18BD" w14:textId="77777777" w:rsidR="00964957" w:rsidRDefault="001F0642" w:rsidP="006943D2">
      <w:pPr>
        <w:spacing w:after="120"/>
        <w:rPr>
          <w:rFonts w:ascii="Arial" w:eastAsia="Arial" w:hAnsi="Arial" w:cs="Arial"/>
          <w:sz w:val="22"/>
          <w:szCs w:val="22"/>
        </w:rPr>
      </w:pPr>
      <w:r w:rsidRPr="001F0642">
        <w:rPr>
          <w:rFonts w:ascii="Arial" w:eastAsia="Arial" w:hAnsi="Arial" w:cs="Arial"/>
          <w:b/>
          <w:i/>
          <w:sz w:val="22"/>
          <w:szCs w:val="22"/>
        </w:rPr>
        <w:t>Genomics and Cell Characterization Core Facility (GC3F)</w:t>
      </w:r>
      <w:r w:rsidRPr="001F0642">
        <w:rPr>
          <w:rFonts w:ascii="Arial" w:eastAsia="Arial" w:hAnsi="Arial" w:cs="Arial"/>
          <w:sz w:val="22"/>
          <w:szCs w:val="22"/>
        </w:rPr>
        <w:t xml:space="preserve">: This facility supports scientific research at the UO by making a broad array of high-end, specialized instrumentation accessible to UO researchers for genomic and flow cytometry applications, as well as offering in-house sequencing sample prep services, for both internal and external users. </w:t>
      </w:r>
    </w:p>
    <w:p w14:paraId="3A9256B4" w14:textId="77777777" w:rsidR="00964957" w:rsidRDefault="001F0642" w:rsidP="006943D2">
      <w:pPr>
        <w:spacing w:after="120"/>
        <w:rPr>
          <w:rFonts w:ascii="Arial" w:hAnsi="Arial" w:cs="Arial"/>
          <w:sz w:val="22"/>
          <w:szCs w:val="22"/>
        </w:rPr>
      </w:pPr>
      <w:r w:rsidRPr="001F0642">
        <w:rPr>
          <w:rFonts w:ascii="Arial" w:hAnsi="Arial" w:cs="Arial"/>
          <w:sz w:val="22"/>
          <w:szCs w:val="22"/>
        </w:rPr>
        <w:t xml:space="preserve">The facility provides next generation Illumina-based high throughput DNA sequencing and associated bioinformatics; robotics for high throughput manipulation of DNA samples; microarray-based genotyping; microarray printing; </w:t>
      </w:r>
      <w:r w:rsidRPr="001F0642">
        <w:rPr>
          <w:rFonts w:ascii="Arial" w:eastAsia="Arial" w:hAnsi="Arial" w:cs="Arial"/>
          <w:sz w:val="22"/>
          <w:szCs w:val="22"/>
        </w:rPr>
        <w:t>Pacific Biosciences (</w:t>
      </w:r>
      <w:proofErr w:type="spellStart"/>
      <w:r w:rsidRPr="001F0642">
        <w:rPr>
          <w:rFonts w:ascii="Arial" w:eastAsia="Arial" w:hAnsi="Arial" w:cs="Arial"/>
          <w:sz w:val="22"/>
          <w:szCs w:val="22"/>
        </w:rPr>
        <w:t>pacbio</w:t>
      </w:r>
      <w:proofErr w:type="spellEnd"/>
      <w:r w:rsidRPr="001F0642">
        <w:rPr>
          <w:rFonts w:ascii="Arial" w:eastAsia="Arial" w:hAnsi="Arial" w:cs="Arial"/>
          <w:sz w:val="22"/>
          <w:szCs w:val="22"/>
        </w:rPr>
        <w:t>) sequencing;</w:t>
      </w:r>
      <w:r w:rsidRPr="001F0642">
        <w:rPr>
          <w:rFonts w:ascii="Arial" w:hAnsi="Arial" w:cs="Arial"/>
          <w:sz w:val="22"/>
          <w:szCs w:val="22"/>
        </w:rPr>
        <w:t xml:space="preserve"> Sanger DNA sequencing; </w:t>
      </w:r>
      <w:r w:rsidRPr="001F0642">
        <w:rPr>
          <w:rFonts w:ascii="Arial" w:eastAsia="Arial" w:hAnsi="Arial" w:cs="Arial"/>
          <w:sz w:val="22"/>
          <w:szCs w:val="22"/>
        </w:rPr>
        <w:t xml:space="preserve">sample prep services; quantification instruments; liquid handling instruments; microscopy &amp; imagine analysis; fragment analysis, </w:t>
      </w:r>
      <w:proofErr w:type="gramStart"/>
      <w:r w:rsidRPr="001F0642">
        <w:rPr>
          <w:rFonts w:ascii="Arial" w:eastAsia="Arial" w:hAnsi="Arial" w:cs="Arial"/>
          <w:sz w:val="22"/>
          <w:szCs w:val="22"/>
        </w:rPr>
        <w:t>and;</w:t>
      </w:r>
      <w:proofErr w:type="gramEnd"/>
      <w:r w:rsidRPr="001F0642">
        <w:rPr>
          <w:rFonts w:ascii="Arial" w:hAnsi="Arial" w:cs="Arial"/>
          <w:sz w:val="22"/>
          <w:szCs w:val="22"/>
        </w:rPr>
        <w:t xml:space="preserve"> a flow cytometer and a high-speed fluorescence activated cell sorter. </w:t>
      </w:r>
    </w:p>
    <w:p w14:paraId="7601D8C3" w14:textId="0EF3D07F" w:rsidR="00B83BD4" w:rsidRDefault="001F0642" w:rsidP="006943D2">
      <w:pPr>
        <w:spacing w:after="120"/>
        <w:rPr>
          <w:rFonts w:ascii="Arial" w:eastAsia="Arial" w:hAnsi="Arial" w:cs="Arial"/>
          <w:sz w:val="22"/>
          <w:szCs w:val="22"/>
        </w:rPr>
      </w:pPr>
      <w:r w:rsidRPr="001F0642">
        <w:rPr>
          <w:rFonts w:ascii="Arial" w:hAnsi="Arial" w:cs="Arial"/>
          <w:sz w:val="22"/>
          <w:szCs w:val="22"/>
        </w:rPr>
        <w:t xml:space="preserve">GC3F includes </w:t>
      </w:r>
      <w:r w:rsidRPr="001F0642">
        <w:rPr>
          <w:rFonts w:ascii="Arial" w:hAnsi="Arial" w:cs="Arial"/>
          <w:i/>
          <w:iCs/>
          <w:sz w:val="22"/>
          <w:szCs w:val="22"/>
        </w:rPr>
        <w:t>The Imaging Facility</w:t>
      </w:r>
      <w:r w:rsidRPr="001F0642">
        <w:rPr>
          <w:rFonts w:ascii="Arial" w:hAnsi="Arial" w:cs="Arial"/>
          <w:sz w:val="22"/>
          <w:szCs w:val="22"/>
        </w:rPr>
        <w:t xml:space="preserve">, which supports scientific researchers with high resolution, state-of-the-art microscopy technologies for imaging. In addition to equipment, they provide trained operators and expert bioinformatics staff for experimental design, implementation, and interpretation. </w:t>
      </w:r>
      <w:r w:rsidRPr="001F0642">
        <w:rPr>
          <w:rFonts w:ascii="Arial" w:eastAsia="Arial" w:hAnsi="Arial" w:cs="Arial"/>
          <w:sz w:val="22"/>
          <w:szCs w:val="22"/>
        </w:rPr>
        <w:t xml:space="preserve">The director is a PhD-level research associate and the full-time research staff consists of three masters-level scientists running machines and working on collaborations with labs. </w:t>
      </w:r>
    </w:p>
    <w:p w14:paraId="7D345BEF" w14:textId="5312A52C" w:rsidR="00964957" w:rsidRDefault="00D815BF" w:rsidP="006943D2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Services and equipment</w:t>
      </w:r>
      <w:r w:rsidR="00964957">
        <w:rPr>
          <w:rFonts w:ascii="Arial" w:eastAsia="Arial" w:hAnsi="Arial" w:cs="Arial"/>
          <w:sz w:val="22"/>
          <w:szCs w:val="22"/>
        </w:rPr>
        <w:t xml:space="preserve"> include:</w:t>
      </w:r>
    </w:p>
    <w:p w14:paraId="741DAC3E" w14:textId="1CA155FC" w:rsidR="00964957" w:rsidRPr="00964957" w:rsidRDefault="00964957" w:rsidP="00964957">
      <w:pPr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964957">
        <w:rPr>
          <w:rFonts w:ascii="Arial" w:eastAsia="Arial" w:hAnsi="Arial" w:cs="Arial"/>
          <w:sz w:val="22"/>
          <w:szCs w:val="22"/>
        </w:rPr>
        <w:t>Next-generation DNA sequencing ser</w:t>
      </w:r>
      <w:r w:rsidRPr="00964957">
        <w:rPr>
          <w:rFonts w:ascii="Arial" w:eastAsia="Arial" w:hAnsi="Arial" w:cs="Arial"/>
          <w:sz w:val="22"/>
          <w:szCs w:val="22"/>
        </w:rPr>
        <w:t>v</w:t>
      </w:r>
      <w:r w:rsidRPr="00964957">
        <w:rPr>
          <w:rFonts w:ascii="Arial" w:eastAsia="Arial" w:hAnsi="Arial" w:cs="Arial"/>
          <w:sz w:val="22"/>
          <w:szCs w:val="22"/>
        </w:rPr>
        <w:t xml:space="preserve">ices using Illumina </w:t>
      </w:r>
      <w:proofErr w:type="spellStart"/>
      <w:r w:rsidRPr="00964957">
        <w:rPr>
          <w:rFonts w:ascii="Arial" w:eastAsia="Arial" w:hAnsi="Arial" w:cs="Arial"/>
          <w:sz w:val="22"/>
          <w:szCs w:val="22"/>
        </w:rPr>
        <w:t>NovaSeq</w:t>
      </w:r>
      <w:proofErr w:type="spellEnd"/>
      <w:r w:rsidRPr="00964957">
        <w:rPr>
          <w:rFonts w:ascii="Arial" w:eastAsia="Arial" w:hAnsi="Arial" w:cs="Arial"/>
          <w:sz w:val="22"/>
          <w:szCs w:val="22"/>
        </w:rPr>
        <w:t xml:space="preserve"> 6000, </w:t>
      </w:r>
      <w:proofErr w:type="spellStart"/>
      <w:r w:rsidRPr="00964957">
        <w:rPr>
          <w:rFonts w:ascii="Arial" w:eastAsia="Arial" w:hAnsi="Arial" w:cs="Arial"/>
          <w:sz w:val="22"/>
          <w:szCs w:val="22"/>
        </w:rPr>
        <w:t>NextSeq</w:t>
      </w:r>
      <w:proofErr w:type="spellEnd"/>
      <w:r w:rsidRPr="00964957">
        <w:rPr>
          <w:rFonts w:ascii="Arial" w:eastAsia="Arial" w:hAnsi="Arial" w:cs="Arial"/>
          <w:sz w:val="22"/>
          <w:szCs w:val="22"/>
        </w:rPr>
        <w:t xml:space="preserve"> 2000, and </w:t>
      </w:r>
      <w:proofErr w:type="spellStart"/>
      <w:r w:rsidRPr="00964957">
        <w:rPr>
          <w:rFonts w:ascii="Arial" w:eastAsia="Arial" w:hAnsi="Arial" w:cs="Arial"/>
          <w:sz w:val="22"/>
          <w:szCs w:val="22"/>
        </w:rPr>
        <w:t>MiSeq</w:t>
      </w:r>
      <w:proofErr w:type="spellEnd"/>
      <w:r w:rsidRPr="00964957">
        <w:rPr>
          <w:rFonts w:ascii="Arial" w:eastAsia="Arial" w:hAnsi="Arial" w:cs="Arial"/>
          <w:sz w:val="22"/>
          <w:szCs w:val="22"/>
        </w:rPr>
        <w:t xml:space="preserve"> sequencers.</w:t>
      </w:r>
    </w:p>
    <w:p w14:paraId="3165B246" w14:textId="77777777" w:rsidR="00964957" w:rsidRPr="00964957" w:rsidRDefault="00964957" w:rsidP="00964957">
      <w:pPr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proofErr w:type="gramStart"/>
      <w:r w:rsidRPr="00964957">
        <w:rPr>
          <w:rFonts w:ascii="Arial" w:eastAsia="Arial" w:hAnsi="Arial" w:cs="Arial"/>
          <w:sz w:val="22"/>
          <w:szCs w:val="22"/>
        </w:rPr>
        <w:t>Third-generation</w:t>
      </w:r>
      <w:proofErr w:type="gramEnd"/>
      <w:r w:rsidRPr="00964957">
        <w:rPr>
          <w:rFonts w:ascii="Arial" w:eastAsia="Arial" w:hAnsi="Arial" w:cs="Arial"/>
          <w:sz w:val="22"/>
          <w:szCs w:val="22"/>
        </w:rPr>
        <w:t xml:space="preserve"> long read DNA </w:t>
      </w:r>
      <w:hyperlink r:id="rId8" w:history="1">
        <w:r w:rsidRPr="00964957">
          <w:rPr>
            <w:rStyle w:val="Hyperlink"/>
            <w:rFonts w:ascii="Arial" w:eastAsia="Arial" w:hAnsi="Arial" w:cs="Arial"/>
            <w:sz w:val="22"/>
            <w:szCs w:val="22"/>
          </w:rPr>
          <w:t>sequenci</w:t>
        </w:r>
        <w:r w:rsidRPr="00964957">
          <w:rPr>
            <w:rStyle w:val="Hyperlink"/>
            <w:rFonts w:ascii="Arial" w:eastAsia="Arial" w:hAnsi="Arial" w:cs="Arial"/>
            <w:sz w:val="22"/>
            <w:szCs w:val="22"/>
          </w:rPr>
          <w:t>n</w:t>
        </w:r>
        <w:r w:rsidRPr="00964957">
          <w:rPr>
            <w:rStyle w:val="Hyperlink"/>
            <w:rFonts w:ascii="Arial" w:eastAsia="Arial" w:hAnsi="Arial" w:cs="Arial"/>
            <w:sz w:val="22"/>
            <w:szCs w:val="22"/>
          </w:rPr>
          <w:t>g</w:t>
        </w:r>
      </w:hyperlink>
      <w:r w:rsidRPr="00964957">
        <w:rPr>
          <w:rFonts w:ascii="Arial" w:eastAsia="Arial" w:hAnsi="Arial" w:cs="Arial"/>
          <w:sz w:val="22"/>
          <w:szCs w:val="22"/>
        </w:rPr>
        <w:t xml:space="preserve"> using PacBio </w:t>
      </w:r>
      <w:proofErr w:type="spellStart"/>
      <w:r w:rsidRPr="00964957">
        <w:rPr>
          <w:rFonts w:ascii="Arial" w:eastAsia="Arial" w:hAnsi="Arial" w:cs="Arial"/>
          <w:sz w:val="22"/>
          <w:szCs w:val="22"/>
        </w:rPr>
        <w:t>Revio</w:t>
      </w:r>
      <w:proofErr w:type="spellEnd"/>
      <w:r w:rsidRPr="00964957">
        <w:rPr>
          <w:rFonts w:ascii="Arial" w:eastAsia="Arial" w:hAnsi="Arial" w:cs="Arial"/>
          <w:sz w:val="22"/>
          <w:szCs w:val="22"/>
        </w:rPr>
        <w:t xml:space="preserve"> as well as Oxford Nanopore </w:t>
      </w:r>
      <w:proofErr w:type="spellStart"/>
      <w:r w:rsidRPr="00964957">
        <w:rPr>
          <w:rFonts w:ascii="Arial" w:eastAsia="Arial" w:hAnsi="Arial" w:cs="Arial"/>
          <w:sz w:val="22"/>
          <w:szCs w:val="22"/>
        </w:rPr>
        <w:t>Promethion</w:t>
      </w:r>
      <w:proofErr w:type="spellEnd"/>
      <w:r w:rsidRPr="00964957">
        <w:rPr>
          <w:rFonts w:ascii="Arial" w:eastAsia="Arial" w:hAnsi="Arial" w:cs="Arial"/>
          <w:sz w:val="22"/>
          <w:szCs w:val="22"/>
        </w:rPr>
        <w:t xml:space="preserve"> and </w:t>
      </w:r>
      <w:proofErr w:type="spellStart"/>
      <w:r w:rsidRPr="00964957">
        <w:rPr>
          <w:rFonts w:ascii="Arial" w:eastAsia="Arial" w:hAnsi="Arial" w:cs="Arial"/>
          <w:sz w:val="22"/>
          <w:szCs w:val="22"/>
        </w:rPr>
        <w:t>MinIon</w:t>
      </w:r>
      <w:proofErr w:type="spellEnd"/>
      <w:r w:rsidRPr="00964957">
        <w:rPr>
          <w:rFonts w:ascii="Arial" w:eastAsia="Arial" w:hAnsi="Arial" w:cs="Arial"/>
          <w:sz w:val="22"/>
          <w:szCs w:val="22"/>
        </w:rPr>
        <w:t xml:space="preserve"> sequencers.</w:t>
      </w:r>
    </w:p>
    <w:p w14:paraId="2574E28D" w14:textId="77777777" w:rsidR="00964957" w:rsidRPr="00964957" w:rsidRDefault="00964957" w:rsidP="00964957">
      <w:pPr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964957">
        <w:rPr>
          <w:rFonts w:ascii="Arial" w:eastAsia="Arial" w:hAnsi="Arial" w:cs="Arial"/>
          <w:sz w:val="22"/>
          <w:szCs w:val="22"/>
        </w:rPr>
        <w:t xml:space="preserve">Single-cell library prep on 10X Chromium and BIO-RAD </w:t>
      </w:r>
      <w:proofErr w:type="spellStart"/>
      <w:r w:rsidRPr="00964957">
        <w:rPr>
          <w:rFonts w:ascii="Arial" w:eastAsia="Arial" w:hAnsi="Arial" w:cs="Arial"/>
          <w:sz w:val="22"/>
          <w:szCs w:val="22"/>
        </w:rPr>
        <w:t>ddSEQ</w:t>
      </w:r>
      <w:proofErr w:type="spellEnd"/>
    </w:p>
    <w:p w14:paraId="1023FAC4" w14:textId="77777777" w:rsidR="00964957" w:rsidRPr="00964957" w:rsidRDefault="00964957" w:rsidP="00964957">
      <w:pPr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hyperlink r:id="rId9" w:history="1">
        <w:r w:rsidRPr="00964957">
          <w:rPr>
            <w:rStyle w:val="Hyperlink"/>
            <w:rFonts w:ascii="Arial" w:eastAsia="Arial" w:hAnsi="Arial" w:cs="Arial"/>
            <w:sz w:val="22"/>
            <w:szCs w:val="22"/>
          </w:rPr>
          <w:t>Advanced Light Micr</w:t>
        </w:r>
        <w:r w:rsidRPr="00964957">
          <w:rPr>
            <w:rStyle w:val="Hyperlink"/>
            <w:rFonts w:ascii="Arial" w:eastAsia="Arial" w:hAnsi="Arial" w:cs="Arial"/>
            <w:sz w:val="22"/>
            <w:szCs w:val="22"/>
          </w:rPr>
          <w:t>o</w:t>
        </w:r>
        <w:r w:rsidRPr="00964957">
          <w:rPr>
            <w:rStyle w:val="Hyperlink"/>
            <w:rFonts w:ascii="Arial" w:eastAsia="Arial" w:hAnsi="Arial" w:cs="Arial"/>
            <w:sz w:val="22"/>
            <w:szCs w:val="22"/>
          </w:rPr>
          <w:t>scopy</w:t>
        </w:r>
      </w:hyperlink>
      <w:r w:rsidRPr="00964957">
        <w:rPr>
          <w:rFonts w:ascii="Arial" w:eastAsia="Arial" w:hAnsi="Arial" w:cs="Arial"/>
          <w:sz w:val="22"/>
          <w:szCs w:val="22"/>
        </w:rPr>
        <w:t xml:space="preserve"> with multiple scanning and spinning-disk confocal, super-resolution (SIM), and light-sheet microscopes.</w:t>
      </w:r>
    </w:p>
    <w:p w14:paraId="4F57E5E1" w14:textId="77777777" w:rsidR="00964957" w:rsidRPr="00964957" w:rsidRDefault="00964957" w:rsidP="00964957">
      <w:pPr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hyperlink r:id="rId10" w:history="1">
        <w:r w:rsidRPr="00964957">
          <w:rPr>
            <w:rStyle w:val="Hyperlink"/>
            <w:rFonts w:ascii="Arial" w:eastAsia="Arial" w:hAnsi="Arial" w:cs="Arial"/>
            <w:sz w:val="22"/>
            <w:szCs w:val="22"/>
          </w:rPr>
          <w:t>Flow Cytometry</w:t>
        </w:r>
      </w:hyperlink>
      <w:r w:rsidRPr="00964957">
        <w:rPr>
          <w:rFonts w:ascii="Arial" w:eastAsia="Arial" w:hAnsi="Arial" w:cs="Arial"/>
          <w:sz w:val="22"/>
          <w:szCs w:val="22"/>
        </w:rPr>
        <w:t xml:space="preserve"> with a Sony SH-800 cell sorter</w:t>
      </w:r>
    </w:p>
    <w:p w14:paraId="7A1AB6CF" w14:textId="77777777" w:rsidR="00964957" w:rsidRPr="00964957" w:rsidRDefault="00964957" w:rsidP="00964957">
      <w:pPr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964957">
        <w:rPr>
          <w:rFonts w:ascii="Arial" w:eastAsia="Arial" w:hAnsi="Arial" w:cs="Arial"/>
          <w:sz w:val="22"/>
          <w:szCs w:val="22"/>
        </w:rPr>
        <w:t xml:space="preserve">High throughput automated liquid handling with </w:t>
      </w:r>
      <w:proofErr w:type="spellStart"/>
      <w:r w:rsidRPr="00964957">
        <w:rPr>
          <w:rFonts w:ascii="Arial" w:eastAsia="Arial" w:hAnsi="Arial" w:cs="Arial"/>
          <w:sz w:val="22"/>
          <w:szCs w:val="22"/>
        </w:rPr>
        <w:t>LabCyte</w:t>
      </w:r>
      <w:proofErr w:type="spellEnd"/>
      <w:r w:rsidRPr="00964957">
        <w:rPr>
          <w:rFonts w:ascii="Arial" w:eastAsia="Arial" w:hAnsi="Arial" w:cs="Arial"/>
          <w:sz w:val="22"/>
          <w:szCs w:val="22"/>
        </w:rPr>
        <w:t xml:space="preserve"> Echo, Hamilton Vantage, and Eppendorf robots.</w:t>
      </w:r>
    </w:p>
    <w:p w14:paraId="6DE42DBD" w14:textId="77777777" w:rsidR="00964957" w:rsidRPr="00964957" w:rsidRDefault="00964957" w:rsidP="00964957">
      <w:pPr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964957">
        <w:rPr>
          <w:rFonts w:ascii="Arial" w:eastAsia="Arial" w:hAnsi="Arial" w:cs="Arial"/>
          <w:sz w:val="22"/>
          <w:szCs w:val="22"/>
        </w:rPr>
        <w:t xml:space="preserve">Mass Spectrometry with a Bruker </w:t>
      </w:r>
      <w:proofErr w:type="spellStart"/>
      <w:r w:rsidRPr="00964957">
        <w:rPr>
          <w:rFonts w:ascii="Arial" w:eastAsia="Arial" w:hAnsi="Arial" w:cs="Arial"/>
          <w:sz w:val="22"/>
          <w:szCs w:val="22"/>
        </w:rPr>
        <w:t>Microflex</w:t>
      </w:r>
      <w:proofErr w:type="spellEnd"/>
      <w:r w:rsidRPr="00964957">
        <w:rPr>
          <w:rFonts w:ascii="Arial" w:eastAsia="Arial" w:hAnsi="Arial" w:cs="Arial"/>
          <w:sz w:val="22"/>
          <w:szCs w:val="22"/>
        </w:rPr>
        <w:t xml:space="preserve"> Smart LS MALDI</w:t>
      </w:r>
    </w:p>
    <w:p w14:paraId="65BBA651" w14:textId="58671C9F" w:rsidR="00964957" w:rsidRPr="00964957" w:rsidRDefault="00964957" w:rsidP="00964957">
      <w:pPr>
        <w:numPr>
          <w:ilvl w:val="0"/>
          <w:numId w:val="9"/>
        </w:numPr>
        <w:spacing w:after="120"/>
        <w:rPr>
          <w:rFonts w:ascii="Arial" w:eastAsia="Arial" w:hAnsi="Arial" w:cs="Arial"/>
          <w:sz w:val="22"/>
          <w:szCs w:val="22"/>
        </w:rPr>
      </w:pPr>
      <w:r w:rsidRPr="00964957">
        <w:rPr>
          <w:rFonts w:ascii="Arial" w:eastAsia="Arial" w:hAnsi="Arial" w:cs="Arial"/>
          <w:sz w:val="22"/>
          <w:szCs w:val="22"/>
        </w:rPr>
        <w:t xml:space="preserve">DNA/RNA fragment analysis, qPCR, </w:t>
      </w:r>
      <w:proofErr w:type="spellStart"/>
      <w:r w:rsidRPr="00964957">
        <w:rPr>
          <w:rFonts w:ascii="Arial" w:eastAsia="Arial" w:hAnsi="Arial" w:cs="Arial"/>
          <w:sz w:val="22"/>
          <w:szCs w:val="22"/>
        </w:rPr>
        <w:t>NanoDrop</w:t>
      </w:r>
      <w:proofErr w:type="spellEnd"/>
      <w:r w:rsidRPr="00964957">
        <w:rPr>
          <w:rFonts w:ascii="Arial" w:eastAsia="Arial" w:hAnsi="Arial" w:cs="Arial"/>
          <w:sz w:val="22"/>
          <w:szCs w:val="22"/>
        </w:rPr>
        <w:t xml:space="preserve"> spectrophotometry, Qubit quantification</w:t>
      </w:r>
      <w:r w:rsidRPr="00964957">
        <w:rPr>
          <w:rFonts w:ascii="Arial" w:eastAsia="Arial" w:hAnsi="Arial" w:cs="Arial"/>
          <w:sz w:val="22"/>
          <w:szCs w:val="22"/>
        </w:rPr>
        <w:t>.</w:t>
      </w:r>
    </w:p>
    <w:p w14:paraId="7B4102C9" w14:textId="7D841B76" w:rsidR="00964957" w:rsidRDefault="00D815BF" w:rsidP="006943D2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facility offers training and support for the following equipment:</w:t>
      </w:r>
    </w:p>
    <w:p w14:paraId="1CF7B238" w14:textId="77777777" w:rsidR="00D815BF" w:rsidRPr="00D815BF" w:rsidRDefault="00D815BF" w:rsidP="00D815BF">
      <w:pPr>
        <w:pStyle w:val="ListParagraph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hyperlink r:id="rId11" w:anchor="leicaspe" w:history="1"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>Leica SPE Laser Scanning Confocal and Widefield</w:t>
        </w:r>
      </w:hyperlink>
    </w:p>
    <w:p w14:paraId="657CC6B0" w14:textId="77777777" w:rsidR="00D815BF" w:rsidRPr="00D815BF" w:rsidRDefault="00D815BF" w:rsidP="00D815BF">
      <w:pPr>
        <w:pStyle w:val="ListParagraph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hyperlink r:id="rId12" w:anchor="deltavisionultra" w:history="1">
        <w:proofErr w:type="spellStart"/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>Cytiva</w:t>
        </w:r>
        <w:proofErr w:type="spellEnd"/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 xml:space="preserve"> </w:t>
        </w:r>
        <w:proofErr w:type="spellStart"/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>DeltaVision</w:t>
        </w:r>
        <w:proofErr w:type="spellEnd"/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 xml:space="preserve"> Ultra - Widefield with Deconvolution</w:t>
        </w:r>
      </w:hyperlink>
    </w:p>
    <w:p w14:paraId="7EDF3E8D" w14:textId="77777777" w:rsidR="00D815BF" w:rsidRPr="00D815BF" w:rsidRDefault="00D815BF" w:rsidP="00D815BF">
      <w:pPr>
        <w:pStyle w:val="ListParagraph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hyperlink r:id="rId13" w:anchor="zeiss880" w:history="1"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 xml:space="preserve">Zeiss LSM 880 with </w:t>
        </w:r>
        <w:proofErr w:type="spellStart"/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>Elyra</w:t>
        </w:r>
        <w:proofErr w:type="spellEnd"/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 xml:space="preserve"> Structured Illumination and Airy Scanning</w:t>
        </w:r>
      </w:hyperlink>
    </w:p>
    <w:p w14:paraId="556FA7A6" w14:textId="77777777" w:rsidR="00D815BF" w:rsidRPr="00D815BF" w:rsidRDefault="00D815BF" w:rsidP="00D815BF">
      <w:pPr>
        <w:pStyle w:val="ListParagraph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hyperlink r:id="rId14" w:anchor="nikonsora" w:history="1"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 xml:space="preserve">Nikon CSU-W1 </w:t>
        </w:r>
        <w:proofErr w:type="spellStart"/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>SoRa</w:t>
        </w:r>
        <w:proofErr w:type="spellEnd"/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 xml:space="preserve"> Spinning Disk</w:t>
        </w:r>
      </w:hyperlink>
    </w:p>
    <w:p w14:paraId="377F71E2" w14:textId="77777777" w:rsidR="00D815BF" w:rsidRPr="00D815BF" w:rsidRDefault="00D815BF" w:rsidP="00D815BF">
      <w:pPr>
        <w:pStyle w:val="ListParagraph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hyperlink r:id="rId15" w:anchor="amersham" w:history="1"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>Amersham Typhoon scanner</w:t>
        </w:r>
      </w:hyperlink>
    </w:p>
    <w:p w14:paraId="2F40B821" w14:textId="77777777" w:rsidR="00D815BF" w:rsidRPr="00D815BF" w:rsidRDefault="00D815BF" w:rsidP="00D815BF">
      <w:pPr>
        <w:pStyle w:val="ListParagraph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hyperlink r:id="rId16" w:anchor="lsm710" w:history="1"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 xml:space="preserve">Zeiss LSM 710 with </w:t>
        </w:r>
        <w:proofErr w:type="spellStart"/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>Elyra</w:t>
        </w:r>
        <w:proofErr w:type="spellEnd"/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 xml:space="preserve"> Structured Illumination and Airy Scanning (Knight Campus)</w:t>
        </w:r>
      </w:hyperlink>
    </w:p>
    <w:p w14:paraId="60E49956" w14:textId="77777777" w:rsidR="00D815BF" w:rsidRPr="00D815BF" w:rsidRDefault="00D815BF" w:rsidP="00D815BF">
      <w:pPr>
        <w:pStyle w:val="ListParagraph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hyperlink r:id="rId17" w:anchor="cherrytemp" w:history="1"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>Cherry Temp System</w:t>
        </w:r>
      </w:hyperlink>
    </w:p>
    <w:p w14:paraId="3CDB5FCB" w14:textId="77777777" w:rsidR="00D815BF" w:rsidRPr="00D815BF" w:rsidRDefault="00D815BF" w:rsidP="00D815BF">
      <w:pPr>
        <w:pStyle w:val="ListParagraph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hyperlink r:id="rId18" w:anchor="yokaihit" w:history="1"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>Tokai Hit Environmental Chamber</w:t>
        </w:r>
      </w:hyperlink>
    </w:p>
    <w:p w14:paraId="46F6C9A2" w14:textId="77777777" w:rsidR="00D815BF" w:rsidRPr="00D815BF" w:rsidRDefault="00D815BF" w:rsidP="00D815BF">
      <w:pPr>
        <w:pStyle w:val="ListParagraph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hyperlink r:id="rId19" w:anchor="workstations" w:history="1">
        <w:r w:rsidRPr="00D815BF">
          <w:rPr>
            <w:rStyle w:val="Hyperlink"/>
            <w:rFonts w:ascii="Arial" w:eastAsia="Arial" w:hAnsi="Arial" w:cs="Arial"/>
            <w:sz w:val="22"/>
            <w:szCs w:val="22"/>
          </w:rPr>
          <w:t>Analysis Workstations</w:t>
        </w:r>
      </w:hyperlink>
    </w:p>
    <w:p w14:paraId="3B675AD7" w14:textId="77777777" w:rsidR="00D815BF" w:rsidRPr="006943D2" w:rsidRDefault="00D815BF" w:rsidP="006943D2">
      <w:pPr>
        <w:spacing w:after="120"/>
        <w:rPr>
          <w:rFonts w:ascii="Arial" w:eastAsia="Arial" w:hAnsi="Arial" w:cs="Arial"/>
          <w:sz w:val="22"/>
          <w:szCs w:val="22"/>
        </w:rPr>
      </w:pPr>
    </w:p>
    <w:sectPr w:rsidR="00D815BF" w:rsidRPr="006943D2" w:rsidSect="00416B7D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17505" w14:textId="77777777" w:rsidR="00C47904" w:rsidRDefault="00C47904" w:rsidP="0070691E">
      <w:r>
        <w:separator/>
      </w:r>
    </w:p>
  </w:endnote>
  <w:endnote w:type="continuationSeparator" w:id="0">
    <w:p w14:paraId="5D554005" w14:textId="77777777" w:rsidR="00C47904" w:rsidRDefault="00C47904" w:rsidP="0070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F5F8D" w14:textId="77777777" w:rsidR="00C47904" w:rsidRDefault="00C47904" w:rsidP="0070691E">
      <w:r>
        <w:separator/>
      </w:r>
    </w:p>
  </w:footnote>
  <w:footnote w:type="continuationSeparator" w:id="0">
    <w:p w14:paraId="6DFEC4A7" w14:textId="77777777" w:rsidR="00C47904" w:rsidRDefault="00C47904" w:rsidP="0070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F10B" w14:textId="2E7D4DE9" w:rsidR="0070691E" w:rsidRDefault="00F233C3">
    <w:pPr>
      <w:pStyle w:val="Header"/>
      <w:rPr>
        <w:sz w:val="21"/>
      </w:rPr>
    </w:pPr>
    <w:r>
      <w:rPr>
        <w:sz w:val="21"/>
      </w:rPr>
      <w:t xml:space="preserve">updated </w:t>
    </w:r>
    <w:r w:rsidR="00964957">
      <w:rPr>
        <w:sz w:val="21"/>
      </w:rPr>
      <w:t>9-2024</w:t>
    </w:r>
  </w:p>
  <w:p w14:paraId="0772F3BB" w14:textId="77777777" w:rsidR="00964957" w:rsidRPr="0070691E" w:rsidRDefault="00964957">
    <w:pPr>
      <w:pStyle w:val="Header"/>
      <w:rPr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197"/>
    <w:multiLevelType w:val="multilevel"/>
    <w:tmpl w:val="F97C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54687"/>
    <w:multiLevelType w:val="multilevel"/>
    <w:tmpl w:val="B962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B48FE"/>
    <w:multiLevelType w:val="multilevel"/>
    <w:tmpl w:val="10DE7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C3BBA"/>
    <w:multiLevelType w:val="hybridMultilevel"/>
    <w:tmpl w:val="1FE0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C00"/>
    <w:multiLevelType w:val="multilevel"/>
    <w:tmpl w:val="76AA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15EB7"/>
    <w:multiLevelType w:val="multilevel"/>
    <w:tmpl w:val="9C82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32661D"/>
    <w:multiLevelType w:val="multilevel"/>
    <w:tmpl w:val="510C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0D059D"/>
    <w:multiLevelType w:val="hybridMultilevel"/>
    <w:tmpl w:val="2D54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A28FE"/>
    <w:multiLevelType w:val="hybridMultilevel"/>
    <w:tmpl w:val="A3AC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24B7E"/>
    <w:multiLevelType w:val="hybridMultilevel"/>
    <w:tmpl w:val="BCD85AF0"/>
    <w:lvl w:ilvl="0" w:tplc="04090005">
      <w:start w:val="1"/>
      <w:numFmt w:val="bullet"/>
      <w:lvlText w:val=""/>
      <w:lvlJc w:val="left"/>
      <w:pPr>
        <w:ind w:left="8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num w:numId="1" w16cid:durableId="1923366340">
    <w:abstractNumId w:val="9"/>
  </w:num>
  <w:num w:numId="2" w16cid:durableId="1060635793">
    <w:abstractNumId w:val="3"/>
  </w:num>
  <w:num w:numId="3" w16cid:durableId="815996749">
    <w:abstractNumId w:val="8"/>
  </w:num>
  <w:num w:numId="4" w16cid:durableId="2070304088">
    <w:abstractNumId w:val="1"/>
  </w:num>
  <w:num w:numId="5" w16cid:durableId="734864567">
    <w:abstractNumId w:val="4"/>
  </w:num>
  <w:num w:numId="6" w16cid:durableId="502087497">
    <w:abstractNumId w:val="2"/>
  </w:num>
  <w:num w:numId="7" w16cid:durableId="2047483830">
    <w:abstractNumId w:val="0"/>
  </w:num>
  <w:num w:numId="8" w16cid:durableId="1879507104">
    <w:abstractNumId w:val="5"/>
  </w:num>
  <w:num w:numId="9" w16cid:durableId="964309826">
    <w:abstractNumId w:val="6"/>
  </w:num>
  <w:num w:numId="10" w16cid:durableId="3561535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7D"/>
    <w:rsid w:val="000072AB"/>
    <w:rsid w:val="000A1AA8"/>
    <w:rsid w:val="000C7B15"/>
    <w:rsid w:val="001077E1"/>
    <w:rsid w:val="00125288"/>
    <w:rsid w:val="001F0642"/>
    <w:rsid w:val="002B184B"/>
    <w:rsid w:val="0033436B"/>
    <w:rsid w:val="00416B7D"/>
    <w:rsid w:val="00430CA9"/>
    <w:rsid w:val="00475446"/>
    <w:rsid w:val="00486810"/>
    <w:rsid w:val="0063090E"/>
    <w:rsid w:val="00635C7A"/>
    <w:rsid w:val="006943D2"/>
    <w:rsid w:val="0070691E"/>
    <w:rsid w:val="007602AE"/>
    <w:rsid w:val="0077784C"/>
    <w:rsid w:val="00792462"/>
    <w:rsid w:val="007B5D74"/>
    <w:rsid w:val="007D08A3"/>
    <w:rsid w:val="007D70FB"/>
    <w:rsid w:val="00867DC1"/>
    <w:rsid w:val="00914638"/>
    <w:rsid w:val="00927B72"/>
    <w:rsid w:val="00964957"/>
    <w:rsid w:val="00A100D9"/>
    <w:rsid w:val="00A65021"/>
    <w:rsid w:val="00AC3577"/>
    <w:rsid w:val="00AE6998"/>
    <w:rsid w:val="00AF51A1"/>
    <w:rsid w:val="00B83BD4"/>
    <w:rsid w:val="00C36597"/>
    <w:rsid w:val="00C47904"/>
    <w:rsid w:val="00C5688E"/>
    <w:rsid w:val="00D815BF"/>
    <w:rsid w:val="00D972DB"/>
    <w:rsid w:val="00E212FB"/>
    <w:rsid w:val="00EB4A01"/>
    <w:rsid w:val="00F233C3"/>
    <w:rsid w:val="00FF537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C76D"/>
  <w15:chartTrackingRefBased/>
  <w15:docId w15:val="{D669F7A6-907F-3A4F-96F5-50B146C8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A1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365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0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0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70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6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91E"/>
  </w:style>
  <w:style w:type="paragraph" w:styleId="Footer">
    <w:name w:val="footer"/>
    <w:basedOn w:val="Normal"/>
    <w:link w:val="FooterChar"/>
    <w:uiPriority w:val="99"/>
    <w:unhideWhenUsed/>
    <w:rsid w:val="00706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91E"/>
  </w:style>
  <w:style w:type="character" w:customStyle="1" w:styleId="Heading2Char">
    <w:name w:val="Heading 2 Char"/>
    <w:basedOn w:val="DefaultParagraphFont"/>
    <w:link w:val="Heading2"/>
    <w:uiPriority w:val="9"/>
    <w:rsid w:val="00C3659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36597"/>
    <w:rPr>
      <w:b/>
      <w:bCs/>
    </w:rPr>
  </w:style>
  <w:style w:type="character" w:customStyle="1" w:styleId="apple-converted-space">
    <w:name w:val="apple-converted-space"/>
    <w:basedOn w:val="DefaultParagraphFont"/>
    <w:rsid w:val="00C36597"/>
  </w:style>
  <w:style w:type="character" w:styleId="FollowedHyperlink">
    <w:name w:val="FollowedHyperlink"/>
    <w:basedOn w:val="DefaultParagraphFont"/>
    <w:uiPriority w:val="99"/>
    <w:semiHidden/>
    <w:unhideWhenUsed/>
    <w:rsid w:val="00C36597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57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5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3f.uoregon.edu/pacbio-sequencing-2" TargetMode="External"/><Relationship Id="rId13" Type="http://schemas.openxmlformats.org/officeDocument/2006/relationships/hyperlink" Target="https://gc3f.uoregon.edu/microscopy-image-analysis-workstations" TargetMode="External"/><Relationship Id="rId18" Type="http://schemas.openxmlformats.org/officeDocument/2006/relationships/hyperlink" Target="https://gc3f.uoregon.edu/microscopy-image-analysis-workstation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c3f.uoregon.edu/microscopy-image-analysis-workstations" TargetMode="External"/><Relationship Id="rId17" Type="http://schemas.openxmlformats.org/officeDocument/2006/relationships/hyperlink" Target="https://gc3f.uoregon.edu/microscopy-image-analysis-workstation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c3f.uoregon.edu/microscopy-image-analysis-workstation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3f.uoregon.edu/microscopy-image-analysis-workstatio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c3f.uoregon.edu/microscopy-image-analysis-workstations" TargetMode="External"/><Relationship Id="rId10" Type="http://schemas.openxmlformats.org/officeDocument/2006/relationships/hyperlink" Target="https://gc3f.uoregon.edu/flow-cytometry" TargetMode="External"/><Relationship Id="rId19" Type="http://schemas.openxmlformats.org/officeDocument/2006/relationships/hyperlink" Target="https://gc3f.uoregon.edu/microscopy-image-analysis-workst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3f.uoregon.edu/microscopy-image-analysis-workstations" TargetMode="External"/><Relationship Id="rId14" Type="http://schemas.openxmlformats.org/officeDocument/2006/relationships/hyperlink" Target="https://gc3f.uoregon.edu/microscopy-image-analysis-workstation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28AADE-4443-C548-9CAD-7A936938A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Petcosky-Kulkarni</dc:creator>
  <cp:keywords/>
  <dc:description/>
  <cp:lastModifiedBy>Mara Fields</cp:lastModifiedBy>
  <cp:revision>5</cp:revision>
  <dcterms:created xsi:type="dcterms:W3CDTF">2023-07-13T17:22:00Z</dcterms:created>
  <dcterms:modified xsi:type="dcterms:W3CDTF">2024-09-27T16:31:00Z</dcterms:modified>
</cp:coreProperties>
</file>